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25DBC"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2835"/>
        <w:gridCol w:w="4336"/>
      </w:tblGrid>
      <w:tr w:rsidR="00A06425" w:rsidRPr="00A06425" w14:paraId="09BEEF6F" w14:textId="77777777" w:rsidTr="00A06425">
        <w:tc>
          <w:tcPr>
            <w:tcW w:w="15388" w:type="dxa"/>
            <w:gridSpan w:val="6"/>
            <w:shd w:val="clear" w:color="auto" w:fill="auto"/>
            <w:vAlign w:val="center"/>
          </w:tcPr>
          <w:p w14:paraId="0772EF36" w14:textId="12362C94"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CE3FB6">
              <w:rPr>
                <w:rFonts w:asciiTheme="minorHAnsi" w:hAnsiTheme="minorHAnsi" w:cstheme="minorHAnsi"/>
                <w:b/>
                <w:i/>
                <w:sz w:val="22"/>
                <w:szCs w:val="22"/>
              </w:rPr>
              <w:t xml:space="preserve"> projekt ustawy o instrumentach wspieranego podejmowania decyzji (UD80)</w:t>
            </w:r>
          </w:p>
          <w:p w14:paraId="5F4F8C1C"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13C2020B" w14:textId="77777777" w:rsidTr="00706431">
        <w:tc>
          <w:tcPr>
            <w:tcW w:w="562" w:type="dxa"/>
            <w:shd w:val="clear" w:color="auto" w:fill="auto"/>
            <w:vAlign w:val="center"/>
          </w:tcPr>
          <w:p w14:paraId="7CF41FF4"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3C7AE16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51261FBB"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3E9C37A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835" w:type="dxa"/>
            <w:shd w:val="clear" w:color="auto" w:fill="auto"/>
            <w:vAlign w:val="center"/>
          </w:tcPr>
          <w:p w14:paraId="0A10D38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4336" w:type="dxa"/>
            <w:vAlign w:val="center"/>
          </w:tcPr>
          <w:p w14:paraId="428F6FD4"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CF645D" w14:paraId="1E79264B" w14:textId="77777777" w:rsidTr="00706431">
        <w:tc>
          <w:tcPr>
            <w:tcW w:w="562" w:type="dxa"/>
            <w:shd w:val="clear" w:color="auto" w:fill="auto"/>
          </w:tcPr>
          <w:p w14:paraId="2D772A15" w14:textId="316E0F6B" w:rsidR="00A06425" w:rsidRPr="00CF645D" w:rsidRDefault="00184ECF" w:rsidP="00A06425">
            <w:pPr>
              <w:spacing w:before="120" w:after="120"/>
              <w:jc w:val="center"/>
              <w:rPr>
                <w:b/>
              </w:rPr>
            </w:pPr>
            <w:r w:rsidRPr="00CF645D">
              <w:rPr>
                <w:b/>
              </w:rPr>
              <w:t>1</w:t>
            </w:r>
          </w:p>
        </w:tc>
        <w:tc>
          <w:tcPr>
            <w:tcW w:w="1134" w:type="dxa"/>
            <w:shd w:val="clear" w:color="auto" w:fill="auto"/>
          </w:tcPr>
          <w:p w14:paraId="4F962A17" w14:textId="456CFC0F" w:rsidR="00A06425" w:rsidRPr="00CF645D" w:rsidRDefault="00DB4400" w:rsidP="004D086F">
            <w:pPr>
              <w:spacing w:before="60" w:after="60"/>
              <w:jc w:val="center"/>
              <w:rPr>
                <w:b/>
              </w:rPr>
            </w:pPr>
            <w:r w:rsidRPr="00CF645D">
              <w:rPr>
                <w:b/>
              </w:rPr>
              <w:t>RCL</w:t>
            </w:r>
          </w:p>
        </w:tc>
        <w:tc>
          <w:tcPr>
            <w:tcW w:w="1843" w:type="dxa"/>
            <w:shd w:val="clear" w:color="auto" w:fill="auto"/>
          </w:tcPr>
          <w:p w14:paraId="5498B941" w14:textId="77777777" w:rsidR="00326B7B" w:rsidRPr="00CF645D" w:rsidRDefault="00326B7B" w:rsidP="00326B7B">
            <w:pPr>
              <w:jc w:val="center"/>
            </w:pPr>
            <w:r w:rsidRPr="00CF645D">
              <w:t>Art. 89 projektu</w:t>
            </w:r>
          </w:p>
          <w:p w14:paraId="4ED9929D" w14:textId="22DF4662" w:rsidR="00DB4400" w:rsidRPr="00CF645D" w:rsidRDefault="00326B7B" w:rsidP="00326B7B">
            <w:pPr>
              <w:jc w:val="center"/>
            </w:pPr>
            <w:r w:rsidRPr="00CF645D">
              <w:t>(</w:t>
            </w:r>
            <w:r w:rsidR="00480B72" w:rsidRPr="00CF645D">
              <w:t xml:space="preserve">zmiana </w:t>
            </w:r>
            <w:r w:rsidRPr="00CF645D">
              <w:t>ustaw</w:t>
            </w:r>
            <w:r w:rsidR="00480B72" w:rsidRPr="00CF645D">
              <w:t xml:space="preserve">y </w:t>
            </w:r>
            <w:r w:rsidRPr="00CF645D">
              <w:t>o służbie cywilnej)</w:t>
            </w:r>
          </w:p>
        </w:tc>
        <w:tc>
          <w:tcPr>
            <w:tcW w:w="4678" w:type="dxa"/>
            <w:shd w:val="clear" w:color="auto" w:fill="auto"/>
          </w:tcPr>
          <w:p w14:paraId="0BDA7E36" w14:textId="7583991C" w:rsidR="00A06425" w:rsidRPr="00CF645D" w:rsidRDefault="004134BA" w:rsidP="00326B7B">
            <w:pPr>
              <w:jc w:val="both"/>
            </w:pPr>
            <w:r w:rsidRPr="00CF645D">
              <w:t>N</w:t>
            </w:r>
            <w:r w:rsidR="00326B7B" w:rsidRPr="00CF645D">
              <w:t xml:space="preserve">a etapie KRMC </w:t>
            </w:r>
            <w:r w:rsidRPr="00CF645D">
              <w:t xml:space="preserve">projekt </w:t>
            </w:r>
            <w:r w:rsidR="000F71FF" w:rsidRPr="00CF645D">
              <w:t xml:space="preserve">uzupełniono o </w:t>
            </w:r>
            <w:r w:rsidRPr="00CF645D">
              <w:t xml:space="preserve">nowy </w:t>
            </w:r>
            <w:r w:rsidR="00326B7B" w:rsidRPr="00CF645D">
              <w:t>przepis</w:t>
            </w:r>
            <w:r w:rsidR="000F71FF" w:rsidRPr="00CF645D">
              <w:t xml:space="preserve"> - </w:t>
            </w:r>
            <w:r w:rsidR="00326B7B" w:rsidRPr="00CF645D">
              <w:t>art. 68a</w:t>
            </w:r>
            <w:r w:rsidR="00D427B0" w:rsidRPr="00CF645D">
              <w:t>,</w:t>
            </w:r>
            <w:r w:rsidRPr="00CF645D">
              <w:t xml:space="preserve"> </w:t>
            </w:r>
            <w:r w:rsidR="00052DF9" w:rsidRPr="00CF645D">
              <w:t xml:space="preserve">dodawany do </w:t>
            </w:r>
            <w:r w:rsidR="00326B7B" w:rsidRPr="00CF645D">
              <w:t>ustaw</w:t>
            </w:r>
            <w:r w:rsidR="00052DF9" w:rsidRPr="00CF645D">
              <w:t>y</w:t>
            </w:r>
            <w:r w:rsidR="00326B7B" w:rsidRPr="00CF645D">
              <w:t xml:space="preserve"> z dnia 21 listopada 2008 r. o służbie cywilnej, zgodnie z którym</w:t>
            </w:r>
            <w:r w:rsidRPr="00CF645D">
              <w:t xml:space="preserve"> stosunek pracy urzędnika służby cywilnej oraz pracownika służby cywilnej ulegać ma zawieszeniu w razie orzeczenia przez sąd</w:t>
            </w:r>
            <w:r w:rsidR="00EB4F6A" w:rsidRPr="00CF645D">
              <w:t>,</w:t>
            </w:r>
            <w:r w:rsidRPr="00CF645D">
              <w:t xml:space="preserve"> w postanowieniu o ustanowieniu </w:t>
            </w:r>
            <w:r w:rsidR="00052DF9" w:rsidRPr="00CF645D">
              <w:t xml:space="preserve">dla takiej osoby </w:t>
            </w:r>
            <w:r w:rsidRPr="00CF645D">
              <w:t>kuratora reprezentującego</w:t>
            </w:r>
            <w:r w:rsidR="00052DF9" w:rsidRPr="00CF645D">
              <w:t>,</w:t>
            </w:r>
            <w:r w:rsidRPr="00CF645D">
              <w:t xml:space="preserve"> utraty możliwości dalszego wykonywania </w:t>
            </w:r>
            <w:r w:rsidR="00D427B0" w:rsidRPr="00CF645D">
              <w:t xml:space="preserve">przez nią </w:t>
            </w:r>
            <w:r w:rsidRPr="00CF645D">
              <w:t xml:space="preserve">zawodu albo czynności służbowych. W przepisie tym, inaczej niż np. w przypadku zawieszenia urzędnika służby cywilnej oraz pracownika służby cywilnej </w:t>
            </w:r>
            <w:r w:rsidRPr="00CF645D">
              <w:rPr>
                <w:color w:val="333333"/>
                <w:shd w:val="clear" w:color="auto" w:fill="FFFFFF"/>
              </w:rPr>
              <w:t>w pełnieniu obowiązków, w związku ze wszczęciem przeciwko niemu postępowania dyscyplinarnego lub karnego (art. 69 ustawy</w:t>
            </w:r>
            <w:r w:rsidR="000F71FF" w:rsidRPr="00CF645D">
              <w:rPr>
                <w:color w:val="333333"/>
                <w:shd w:val="clear" w:color="auto" w:fill="FFFFFF"/>
              </w:rPr>
              <w:t xml:space="preserve"> o służbie cywilnej</w:t>
            </w:r>
            <w:r w:rsidRPr="00CF645D">
              <w:rPr>
                <w:color w:val="333333"/>
                <w:shd w:val="clear" w:color="auto" w:fill="FFFFFF"/>
              </w:rPr>
              <w:t>)</w:t>
            </w:r>
            <w:r w:rsidRPr="00CF645D">
              <w:t xml:space="preserve"> nie uregulowano jednak skutków takiego zawieszenia dla dalszego wypłacania </w:t>
            </w:r>
            <w:r w:rsidR="00052DF9" w:rsidRPr="00CF645D">
              <w:t xml:space="preserve">urzędnikowi lub pracownikowi </w:t>
            </w:r>
            <w:r w:rsidRPr="00CF645D">
              <w:t>wynagrodzenia</w:t>
            </w:r>
            <w:r w:rsidR="00326B7B" w:rsidRPr="00CF645D">
              <w:t>, a także kwestii wliczania okresu takiego zawieszenia do okresu zatrudnienia, od którego zależą uprawnienia pracownicze</w:t>
            </w:r>
            <w:r w:rsidR="000F71FF" w:rsidRPr="00CF645D">
              <w:t>.</w:t>
            </w:r>
            <w:r w:rsidR="00326B7B" w:rsidRPr="00CF645D">
              <w:t xml:space="preserve"> </w:t>
            </w:r>
            <w:r w:rsidR="00052DF9" w:rsidRPr="00CF645D">
              <w:t>Kwestia ta wymaga w</w:t>
            </w:r>
            <w:r w:rsidR="00326B7B" w:rsidRPr="00CF645D">
              <w:t>yjaśnienia</w:t>
            </w:r>
            <w:r w:rsidR="00052DF9" w:rsidRPr="00CF645D">
              <w:t>.</w:t>
            </w:r>
          </w:p>
        </w:tc>
        <w:tc>
          <w:tcPr>
            <w:tcW w:w="2835" w:type="dxa"/>
            <w:shd w:val="clear" w:color="auto" w:fill="auto"/>
          </w:tcPr>
          <w:p w14:paraId="582883AE" w14:textId="34350169" w:rsidR="002E75EA" w:rsidRPr="00CF645D" w:rsidRDefault="00706431" w:rsidP="002E75EA">
            <w:pPr>
              <w:jc w:val="both"/>
            </w:pPr>
            <w:r w:rsidRPr="00CF645D">
              <w:t xml:space="preserve"> </w:t>
            </w:r>
          </w:p>
        </w:tc>
        <w:tc>
          <w:tcPr>
            <w:tcW w:w="4336" w:type="dxa"/>
          </w:tcPr>
          <w:p w14:paraId="7EFE5BA2" w14:textId="77777777" w:rsidR="00706431" w:rsidRPr="00CF645D" w:rsidRDefault="00706431" w:rsidP="00706431">
            <w:pPr>
              <w:jc w:val="both"/>
              <w:rPr>
                <w:b/>
                <w:bCs/>
              </w:rPr>
            </w:pPr>
            <w:r w:rsidRPr="00CF645D">
              <w:rPr>
                <w:b/>
                <w:bCs/>
              </w:rPr>
              <w:t>Uwaga uwzględniona</w:t>
            </w:r>
          </w:p>
          <w:p w14:paraId="25508E8B" w14:textId="77841055" w:rsidR="00A06425" w:rsidRPr="00CF645D" w:rsidRDefault="00706431" w:rsidP="00706431">
            <w:pPr>
              <w:jc w:val="both"/>
            </w:pPr>
            <w:r w:rsidRPr="00CF645D">
              <w:t>Dodano art. 68 ust. 2,</w:t>
            </w:r>
            <w:r w:rsidR="00AC726A" w:rsidRPr="00CF645D">
              <w:t xml:space="preserve"> o treści: </w:t>
            </w:r>
            <w:r w:rsidR="00AC726A" w:rsidRPr="00CF645D">
              <w:rPr>
                <w:i/>
                <w:iCs/>
              </w:rPr>
              <w:t>W okresie zawieszenia, o którym mowa w ust. 1, urzędnik służby cywilnej oraz pracownik służby cywilnej zachowuje prawo do wynagrodzenia i innych świadczeń przysługujących na podstawie stosunku pracy.</w:t>
            </w:r>
            <w:r w:rsidRPr="00CF645D">
              <w:rPr>
                <w:i/>
                <w:iCs/>
              </w:rPr>
              <w:t xml:space="preserve"> </w:t>
            </w:r>
            <w:r w:rsidR="00AC726A" w:rsidRPr="00CF645D">
              <w:t>A</w:t>
            </w:r>
            <w:r w:rsidRPr="00CF645D">
              <w:t>nalogiczną zmianę wprowadzono także w ustawie o pracownikach urzędów państwowych.</w:t>
            </w:r>
          </w:p>
        </w:tc>
      </w:tr>
      <w:tr w:rsidR="000A5F67" w:rsidRPr="00CF645D" w14:paraId="4FCF159B" w14:textId="77777777" w:rsidTr="00706431">
        <w:tc>
          <w:tcPr>
            <w:tcW w:w="562" w:type="dxa"/>
            <w:shd w:val="clear" w:color="auto" w:fill="auto"/>
          </w:tcPr>
          <w:p w14:paraId="5EF7AF9A" w14:textId="006F9021" w:rsidR="000A5F67" w:rsidRPr="00CF645D" w:rsidRDefault="00184ECF" w:rsidP="00A06425">
            <w:pPr>
              <w:spacing w:before="120" w:after="120"/>
              <w:jc w:val="center"/>
              <w:rPr>
                <w:b/>
              </w:rPr>
            </w:pPr>
            <w:r w:rsidRPr="00CF645D">
              <w:rPr>
                <w:b/>
              </w:rPr>
              <w:t>2</w:t>
            </w:r>
          </w:p>
        </w:tc>
        <w:tc>
          <w:tcPr>
            <w:tcW w:w="1134" w:type="dxa"/>
            <w:shd w:val="clear" w:color="auto" w:fill="auto"/>
          </w:tcPr>
          <w:p w14:paraId="5F18A067" w14:textId="01DDF635" w:rsidR="000A5F67" w:rsidRPr="00CF645D" w:rsidRDefault="00326B7B" w:rsidP="004D086F">
            <w:pPr>
              <w:spacing w:before="60" w:after="60"/>
              <w:jc w:val="center"/>
              <w:rPr>
                <w:b/>
              </w:rPr>
            </w:pPr>
            <w:r w:rsidRPr="00CF645D">
              <w:rPr>
                <w:b/>
              </w:rPr>
              <w:t>RCL</w:t>
            </w:r>
          </w:p>
        </w:tc>
        <w:tc>
          <w:tcPr>
            <w:tcW w:w="1843" w:type="dxa"/>
            <w:shd w:val="clear" w:color="auto" w:fill="auto"/>
          </w:tcPr>
          <w:p w14:paraId="4ECE7A1E" w14:textId="7FE124E4" w:rsidR="000A5F67" w:rsidRPr="00CF645D" w:rsidRDefault="00326B7B" w:rsidP="004D086F">
            <w:pPr>
              <w:jc w:val="center"/>
            </w:pPr>
            <w:r w:rsidRPr="00CF645D">
              <w:t>Art. 161 projektu</w:t>
            </w:r>
          </w:p>
        </w:tc>
        <w:tc>
          <w:tcPr>
            <w:tcW w:w="4678" w:type="dxa"/>
            <w:shd w:val="clear" w:color="auto" w:fill="auto"/>
          </w:tcPr>
          <w:p w14:paraId="622F9D8C" w14:textId="31B491F4" w:rsidR="000A5F67" w:rsidRPr="00CF645D" w:rsidRDefault="00326B7B" w:rsidP="00326B7B">
            <w:pPr>
              <w:jc w:val="both"/>
            </w:pPr>
            <w:r w:rsidRPr="00CF645D">
              <w:t xml:space="preserve">Aktualna pozostaje uwaga zgłoszona do normy zawartej </w:t>
            </w:r>
            <w:r w:rsidR="00211910" w:rsidRPr="00CF645D">
              <w:t xml:space="preserve">obecnie </w:t>
            </w:r>
            <w:r w:rsidRPr="00CF645D">
              <w:t xml:space="preserve">w art. 161 projektu  – który de facto stanowi dorozumianą nowelizację przepisów, niedozwoloną w świetle § 86 ZTP. Jakkolwiek projekt w </w:t>
            </w:r>
            <w:r w:rsidRPr="00CF645D">
              <w:lastRenderedPageBreak/>
              <w:t>obecnej wersji znacząco poszerzono o liczne przepisy zmieniające, w których odniesienia do ubezwłasnowolnienia zastąpiono odniesieniami do instrumentów wspieranego podejmowania decyzji, to zauważa się, że katalog takich przepisów zmieniających powinien być kompletny - tak, aby nie istniała konieczność formułowania nieprawidłowych przepisów o dorozumianej zmianie innych ustaw, jako ewentualnego „zabezpieczenia” na wypadek, gdyby katalog ten nie okazał się jednak zupełny.</w:t>
            </w:r>
            <w:r w:rsidR="00211910" w:rsidRPr="00CF645D">
              <w:t xml:space="preserve"> </w:t>
            </w:r>
            <w:r w:rsidR="000F71FF" w:rsidRPr="00CF645D">
              <w:t>A</w:t>
            </w:r>
            <w:r w:rsidR="00211910" w:rsidRPr="00CF645D">
              <w:t xml:space="preserve">kty prawne „rangi niższej od ustawowej”, w których występują odniesienia do instytucji ubezwłasnowolnienia, o czym mowa w stanowisku projektodawcy zawartym w protokole rozbieżności,  wymagać </w:t>
            </w:r>
            <w:r w:rsidR="000F71FF" w:rsidRPr="00CF645D">
              <w:t xml:space="preserve">zaś </w:t>
            </w:r>
            <w:r w:rsidR="00211910" w:rsidRPr="00CF645D">
              <w:t xml:space="preserve">będą </w:t>
            </w:r>
            <w:r w:rsidR="00211910" w:rsidRPr="00CF645D">
              <w:rPr>
                <w:u w:val="single"/>
              </w:rPr>
              <w:t>odrębnej nowelizacji</w:t>
            </w:r>
            <w:r w:rsidR="00211910" w:rsidRPr="00CF645D">
              <w:t xml:space="preserve">, w drodze odpowiednich rozporządzeń zmieniających, która nie powinna być zastępowana przepisem ustawowym o ich nowelizacji dorozumianej.  </w:t>
            </w:r>
            <w:r w:rsidRPr="00CF645D">
              <w:tab/>
            </w:r>
          </w:p>
        </w:tc>
        <w:tc>
          <w:tcPr>
            <w:tcW w:w="2835" w:type="dxa"/>
            <w:shd w:val="clear" w:color="auto" w:fill="auto"/>
          </w:tcPr>
          <w:p w14:paraId="57BBFD18" w14:textId="77777777" w:rsidR="000A5F67" w:rsidRPr="00CF645D" w:rsidRDefault="000A5F67" w:rsidP="004D086F">
            <w:pPr>
              <w:jc w:val="center"/>
            </w:pPr>
          </w:p>
        </w:tc>
        <w:tc>
          <w:tcPr>
            <w:tcW w:w="4336" w:type="dxa"/>
          </w:tcPr>
          <w:p w14:paraId="0CD910AE" w14:textId="77777777" w:rsidR="000A5F67" w:rsidRPr="00CF645D" w:rsidRDefault="00AC726A" w:rsidP="00AC726A">
            <w:pPr>
              <w:jc w:val="both"/>
              <w:rPr>
                <w:b/>
                <w:bCs/>
              </w:rPr>
            </w:pPr>
            <w:r w:rsidRPr="00CF645D">
              <w:rPr>
                <w:b/>
                <w:bCs/>
              </w:rPr>
              <w:t>Uwaga nieuwzględniona</w:t>
            </w:r>
          </w:p>
          <w:p w14:paraId="654D1354" w14:textId="0826743E" w:rsidR="00AC726A" w:rsidRPr="00CF645D" w:rsidRDefault="00487F2D" w:rsidP="00AC726A">
            <w:pPr>
              <w:jc w:val="both"/>
            </w:pPr>
            <w:r w:rsidRPr="00CF645D">
              <w:t>Projektodawca podtrzymuje stanowisko wyrażone dotychczas</w:t>
            </w:r>
            <w:r w:rsidR="000E7236" w:rsidRPr="00CF645D">
              <w:t>.</w:t>
            </w:r>
            <w:r w:rsidRPr="00CF645D">
              <w:t xml:space="preserve"> </w:t>
            </w:r>
            <w:r w:rsidR="000E7236" w:rsidRPr="00CF645D">
              <w:t>P</w:t>
            </w:r>
            <w:r w:rsidR="00562CD7" w:rsidRPr="00CF645D">
              <w:t xml:space="preserve">rojekt przewiduje zmiany w ustawach szczególnych, </w:t>
            </w:r>
            <w:r w:rsidR="000E7236" w:rsidRPr="00CF645D">
              <w:t xml:space="preserve">zarówno w tych, które </w:t>
            </w:r>
            <w:r w:rsidR="00562CD7" w:rsidRPr="00CF645D">
              <w:t>zostały zgłoszone</w:t>
            </w:r>
            <w:r w:rsidR="00620403" w:rsidRPr="00CF645D">
              <w:t xml:space="preserve"> </w:t>
            </w:r>
            <w:r w:rsidR="00620403" w:rsidRPr="00CF645D">
              <w:lastRenderedPageBreak/>
              <w:t xml:space="preserve">przez inne podmioty w toku uzgodnień wewnątrzresortowych a także uzgodnień międzyresortowych, konsultacji publicznych </w:t>
            </w:r>
            <w:r w:rsidR="000E7236" w:rsidRPr="00CF645D">
              <w:t xml:space="preserve">i </w:t>
            </w:r>
            <w:r w:rsidR="00620403" w:rsidRPr="00CF645D">
              <w:t>opiniowania</w:t>
            </w:r>
            <w:r w:rsidR="000E7236" w:rsidRPr="00CF645D">
              <w:t xml:space="preserve">, jak również </w:t>
            </w:r>
            <w:r w:rsidR="0014152F" w:rsidRPr="00CF645D">
              <w:t>znalezionych przez projektodawcę</w:t>
            </w:r>
            <w:r w:rsidR="00620403" w:rsidRPr="00CF645D">
              <w:t>. Projektodawca nie jest w stanie przewidzieć czy poszczególne resorty zgłosiły potrzebę zmiany wszystkich aktów prawnych, gdzie posłużono się pojęciami dotyczącymi likwidowanej instytucji ubezwłasnowolnieni</w:t>
            </w:r>
            <w:r w:rsidR="00306FA5">
              <w:t>a</w:t>
            </w:r>
            <w:r w:rsidR="00620403" w:rsidRPr="00CF645D">
              <w:t>. Jednocześnie należy podkreślić, że ubezwłasnowolnienie stanowi aktualnie jedn</w:t>
            </w:r>
            <w:r w:rsidR="004B16BD">
              <w:t>ą</w:t>
            </w:r>
            <w:r w:rsidR="00620403" w:rsidRPr="00CF645D">
              <w:t xml:space="preserve"> z fundamentalnych instytucji prawa cywilnego, z którą </w:t>
            </w:r>
            <w:r w:rsidR="004B16BD">
              <w:t xml:space="preserve">w </w:t>
            </w:r>
            <w:r w:rsidR="00620403" w:rsidRPr="00CF645D">
              <w:t>ścisłym związku pozostaje koncepcja zdolności do czynności prawnych. Z uwagi na powyższe akty prawne, także rangi niższej od ustawowej, niejednokrotnie odnoszą się do tejże instytucji.  Docelowo intencją projektodawcy jest wyczerpujące uregulowanie wszystkich aktów prawnych posługujących się  omawianym pojęciem tak, by ww. przepis nie musiał znaleźć zastosowania w praktyce. Z uwagi jednakże na rangę</w:t>
            </w:r>
            <w:r w:rsidR="005A73EE" w:rsidRPr="00CF645D">
              <w:t xml:space="preserve"> wprowadzanych zmian projektodawca nie widzi możliwości odstąpienia od omawianego przepisu.</w:t>
            </w:r>
          </w:p>
          <w:p w14:paraId="61E95783" w14:textId="5266F170" w:rsidR="00D97BDB" w:rsidRPr="00CF645D" w:rsidRDefault="00D97BDB" w:rsidP="00CF645D">
            <w:pPr>
              <w:jc w:val="both"/>
            </w:pPr>
            <w:r w:rsidRPr="00CF645D">
              <w:t xml:space="preserve">Jednocześnie wskazuję, że </w:t>
            </w:r>
            <w:r w:rsidR="00997089" w:rsidRPr="00CF645D">
              <w:t xml:space="preserve">ustawodawca posługuje się </w:t>
            </w:r>
            <w:r w:rsidR="00737719" w:rsidRPr="00CF645D">
              <w:t>tak</w:t>
            </w:r>
            <w:r w:rsidR="00654FEF" w:rsidRPr="00CF645D">
              <w:t>imi rozwiązan</w:t>
            </w:r>
            <w:r w:rsidR="00324D1C">
              <w:t>iami</w:t>
            </w:r>
            <w:r w:rsidR="00255A90">
              <w:t xml:space="preserve"> w innych ustawach</w:t>
            </w:r>
            <w:r w:rsidR="00654FEF" w:rsidRPr="00CF645D">
              <w:t xml:space="preserve"> (m</w:t>
            </w:r>
            <w:r w:rsidR="00F617B3">
              <w:t>.</w:t>
            </w:r>
            <w:r w:rsidR="00654FEF" w:rsidRPr="00CF645D">
              <w:t xml:space="preserve">in. art. 17 </w:t>
            </w:r>
            <w:r w:rsidR="00717E96" w:rsidRPr="00CF645D">
              <w:t>ustawy z dnia 18 kwietnia 1985 r.</w:t>
            </w:r>
            <w:r w:rsidR="009A3F98">
              <w:t xml:space="preserve"> </w:t>
            </w:r>
            <w:r w:rsidR="00717E96" w:rsidRPr="00CF645D">
              <w:t xml:space="preserve">o rozpoznawaniu przez sądy spraw z zakresu prawa pracy i ubezpieczeń społecznych; </w:t>
            </w:r>
            <w:r w:rsidR="00CF645D" w:rsidRPr="00CF645D">
              <w:t xml:space="preserve">art. 202 ustawy z dnia 6 marca 2018 r. Przepisy wprowadzające ustawę - Prawo </w:t>
            </w:r>
            <w:r w:rsidR="00CF645D" w:rsidRPr="00CF645D">
              <w:lastRenderedPageBreak/>
              <w:t xml:space="preserve">przedsiębiorców oraz inne ustawy dotyczące działalności gospodarczej). </w:t>
            </w:r>
          </w:p>
        </w:tc>
      </w:tr>
    </w:tbl>
    <w:p w14:paraId="6C597095" w14:textId="77777777" w:rsidR="00C64B1B" w:rsidRPr="00CF645D" w:rsidRDefault="00C64B1B" w:rsidP="00C64B1B">
      <w:pPr>
        <w:jc w:val="center"/>
      </w:pPr>
    </w:p>
    <w:sectPr w:rsidR="00C64B1B" w:rsidRPr="00CF645D"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6407F" w14:textId="77777777" w:rsidR="000D2640" w:rsidRDefault="000D2640" w:rsidP="00052DF9">
      <w:r>
        <w:separator/>
      </w:r>
    </w:p>
  </w:endnote>
  <w:endnote w:type="continuationSeparator" w:id="0">
    <w:p w14:paraId="05A16091" w14:textId="77777777" w:rsidR="000D2640" w:rsidRDefault="000D2640" w:rsidP="0005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07AE8" w14:textId="77777777" w:rsidR="000D2640" w:rsidRDefault="000D2640" w:rsidP="00052DF9">
      <w:r>
        <w:separator/>
      </w:r>
    </w:p>
  </w:footnote>
  <w:footnote w:type="continuationSeparator" w:id="0">
    <w:p w14:paraId="3116A7EA" w14:textId="77777777" w:rsidR="000D2640" w:rsidRDefault="000D2640" w:rsidP="00052D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47387"/>
    <w:rsid w:val="00052DF9"/>
    <w:rsid w:val="000A5F67"/>
    <w:rsid w:val="000B6FD4"/>
    <w:rsid w:val="000C1BC6"/>
    <w:rsid w:val="000D22B8"/>
    <w:rsid w:val="000D2640"/>
    <w:rsid w:val="000E7236"/>
    <w:rsid w:val="000F5324"/>
    <w:rsid w:val="000F71FF"/>
    <w:rsid w:val="00140BE8"/>
    <w:rsid w:val="0014152F"/>
    <w:rsid w:val="00184ECF"/>
    <w:rsid w:val="0019648E"/>
    <w:rsid w:val="001D7D08"/>
    <w:rsid w:val="002112AC"/>
    <w:rsid w:val="00211910"/>
    <w:rsid w:val="00233E77"/>
    <w:rsid w:val="00255A90"/>
    <w:rsid w:val="002715B2"/>
    <w:rsid w:val="002E75EA"/>
    <w:rsid w:val="00306A08"/>
    <w:rsid w:val="00306FA5"/>
    <w:rsid w:val="003124D1"/>
    <w:rsid w:val="00324D1C"/>
    <w:rsid w:val="00326B7B"/>
    <w:rsid w:val="003B4105"/>
    <w:rsid w:val="003C1ABE"/>
    <w:rsid w:val="004134BA"/>
    <w:rsid w:val="004363AC"/>
    <w:rsid w:val="00446FC7"/>
    <w:rsid w:val="00480B72"/>
    <w:rsid w:val="00487F2D"/>
    <w:rsid w:val="004A68B1"/>
    <w:rsid w:val="004B16BD"/>
    <w:rsid w:val="004C6240"/>
    <w:rsid w:val="004D086F"/>
    <w:rsid w:val="005568BE"/>
    <w:rsid w:val="00562CD7"/>
    <w:rsid w:val="00565FA0"/>
    <w:rsid w:val="005A73EE"/>
    <w:rsid w:val="005F6527"/>
    <w:rsid w:val="006154B2"/>
    <w:rsid w:val="00620403"/>
    <w:rsid w:val="00654FEF"/>
    <w:rsid w:val="006705EC"/>
    <w:rsid w:val="006C3CED"/>
    <w:rsid w:val="006E16E9"/>
    <w:rsid w:val="006E2B76"/>
    <w:rsid w:val="00706431"/>
    <w:rsid w:val="00717E96"/>
    <w:rsid w:val="00737719"/>
    <w:rsid w:val="007A1D75"/>
    <w:rsid w:val="00807385"/>
    <w:rsid w:val="008A11EB"/>
    <w:rsid w:val="00901708"/>
    <w:rsid w:val="00944932"/>
    <w:rsid w:val="00972750"/>
    <w:rsid w:val="009769D2"/>
    <w:rsid w:val="00997089"/>
    <w:rsid w:val="009A3F98"/>
    <w:rsid w:val="009D046D"/>
    <w:rsid w:val="009E5FDB"/>
    <w:rsid w:val="00A06425"/>
    <w:rsid w:val="00A8384B"/>
    <w:rsid w:val="00A87D13"/>
    <w:rsid w:val="00AA02E3"/>
    <w:rsid w:val="00AC726A"/>
    <w:rsid w:val="00AC7796"/>
    <w:rsid w:val="00AE701A"/>
    <w:rsid w:val="00B210BC"/>
    <w:rsid w:val="00B36E5A"/>
    <w:rsid w:val="00B6241E"/>
    <w:rsid w:val="00B871B6"/>
    <w:rsid w:val="00C00051"/>
    <w:rsid w:val="00C64B1B"/>
    <w:rsid w:val="00C76C93"/>
    <w:rsid w:val="00C97CA1"/>
    <w:rsid w:val="00CA06E8"/>
    <w:rsid w:val="00CD5EB0"/>
    <w:rsid w:val="00CE3FB6"/>
    <w:rsid w:val="00CF4F29"/>
    <w:rsid w:val="00CF645D"/>
    <w:rsid w:val="00D427B0"/>
    <w:rsid w:val="00D73BF8"/>
    <w:rsid w:val="00D80A21"/>
    <w:rsid w:val="00D97BDB"/>
    <w:rsid w:val="00DB4400"/>
    <w:rsid w:val="00E14C33"/>
    <w:rsid w:val="00E636C2"/>
    <w:rsid w:val="00E813C8"/>
    <w:rsid w:val="00EB4F6A"/>
    <w:rsid w:val="00F414CF"/>
    <w:rsid w:val="00F617B3"/>
    <w:rsid w:val="00F90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508514"/>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kocowego">
    <w:name w:val="endnote text"/>
    <w:basedOn w:val="Normalny"/>
    <w:link w:val="TekstprzypisukocowegoZnak"/>
    <w:rsid w:val="00052DF9"/>
    <w:rPr>
      <w:sz w:val="20"/>
      <w:szCs w:val="20"/>
    </w:rPr>
  </w:style>
  <w:style w:type="character" w:customStyle="1" w:styleId="TekstprzypisukocowegoZnak">
    <w:name w:val="Tekst przypisu końcowego Znak"/>
    <w:basedOn w:val="Domylnaczcionkaakapitu"/>
    <w:link w:val="Tekstprzypisukocowego"/>
    <w:rsid w:val="00052DF9"/>
  </w:style>
  <w:style w:type="character" w:styleId="Odwoanieprzypisukocowego">
    <w:name w:val="endnote reference"/>
    <w:basedOn w:val="Domylnaczcionkaakapitu"/>
    <w:rsid w:val="00052DF9"/>
    <w:rPr>
      <w:vertAlign w:val="superscript"/>
    </w:rPr>
  </w:style>
  <w:style w:type="paragraph" w:styleId="Nagwek">
    <w:name w:val="header"/>
    <w:basedOn w:val="Normalny"/>
    <w:link w:val="NagwekZnak"/>
    <w:rsid w:val="004A68B1"/>
    <w:pPr>
      <w:tabs>
        <w:tab w:val="center" w:pos="4536"/>
        <w:tab w:val="right" w:pos="9072"/>
      </w:tabs>
    </w:pPr>
  </w:style>
  <w:style w:type="character" w:customStyle="1" w:styleId="NagwekZnak">
    <w:name w:val="Nagłówek Znak"/>
    <w:basedOn w:val="Domylnaczcionkaakapitu"/>
    <w:link w:val="Nagwek"/>
    <w:rsid w:val="004A68B1"/>
    <w:rPr>
      <w:sz w:val="24"/>
      <w:szCs w:val="24"/>
    </w:rPr>
  </w:style>
  <w:style w:type="paragraph" w:styleId="Stopka">
    <w:name w:val="footer"/>
    <w:basedOn w:val="Normalny"/>
    <w:link w:val="StopkaZnak"/>
    <w:rsid w:val="004A68B1"/>
    <w:pPr>
      <w:tabs>
        <w:tab w:val="center" w:pos="4536"/>
        <w:tab w:val="right" w:pos="9072"/>
      </w:tabs>
    </w:pPr>
  </w:style>
  <w:style w:type="character" w:customStyle="1" w:styleId="StopkaZnak">
    <w:name w:val="Stopka Znak"/>
    <w:basedOn w:val="Domylnaczcionkaakapitu"/>
    <w:link w:val="Stopka"/>
    <w:rsid w:val="004A68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FF81F5A36E844EB164F4407DA34750" ma:contentTypeVersion="4" ma:contentTypeDescription="Create a new document." ma:contentTypeScope="" ma:versionID="48a074e2334e287d2e62f3871801c6d1">
  <xsd:schema xmlns:xsd="http://www.w3.org/2001/XMLSchema" xmlns:xs="http://www.w3.org/2001/XMLSchema" xmlns:p="http://schemas.microsoft.com/office/2006/metadata/properties" xmlns:ns2="15cae502-867c-4c5e-9529-f4616768cd06" targetNamespace="http://schemas.microsoft.com/office/2006/metadata/properties" ma:root="true" ma:fieldsID="bd068db74d168b1235930075741235b3" ns2:_="">
    <xsd:import namespace="15cae502-867c-4c5e-9529-f4616768cd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ae502-867c-4c5e-9529-f4616768c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1147F-CE3D-40FC-9BA0-7EE9E8C89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ae502-867c-4c5e-9529-f4616768c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5DB4B6-8EAC-40C5-B4B4-C9BAF5EF4A77}">
  <ds:schemaRefs>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office/2006/documentManagement/types"/>
    <ds:schemaRef ds:uri="http://purl.org/dc/dcmitype/"/>
    <ds:schemaRef ds:uri="http://purl.org/dc/terms/"/>
    <ds:schemaRef ds:uri="15cae502-867c-4c5e-9529-f4616768cd06"/>
    <ds:schemaRef ds:uri="http://schemas.microsoft.com/office/2006/metadata/properties"/>
  </ds:schemaRefs>
</ds:datastoreItem>
</file>

<file path=customXml/itemProps3.xml><?xml version="1.0" encoding="utf-8"?>
<ds:datastoreItem xmlns:ds="http://schemas.openxmlformats.org/officeDocument/2006/customXml" ds:itemID="{E022DB62-E00C-4952-819E-77D35B8B01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545</Words>
  <Characters>3648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Dębicka Maryla</cp:lastModifiedBy>
  <cp:revision>2</cp:revision>
  <dcterms:created xsi:type="dcterms:W3CDTF">2025-07-16T11:51:00Z</dcterms:created>
  <dcterms:modified xsi:type="dcterms:W3CDTF">2025-07-16T11:51:00Z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0x01010031FF81F5A36E844EB164F4407DA34750</vt:lpwstr>
  </property>
</Properties>
</file>